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6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На страже закона и точности: работники челябинского Росреестра продолжают обследовать пункты ГГС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На Южном Урале продолжается обследование пунктов государственной геодезической сети</w:t>
      </w:r>
      <w:r>
        <w:rPr>
          <w:rStyle w:val="UserStyle_60"/>
          <w:b/>
          <w:bCs/>
          <w:sz w:val="28"/>
          <w:szCs w:val="28"/>
        </w:rPr>
        <w:t xml:space="preserve"> (ГГС)</w:t>
      </w:r>
      <w:r>
        <w:rPr>
          <w:rStyle w:val="UserStyle_60"/>
          <w:b/>
          <w:bCs/>
          <w:sz w:val="28"/>
          <w:szCs w:val="28"/>
        </w:rPr>
        <w:t xml:space="preserve">. Работники Управления Росреестра по Челябинской области с начала года уже осмотрели 117 таких </w:t>
      </w:r>
      <w:r>
        <w:rPr>
          <w:rStyle w:val="UserStyle_60"/>
          <w:b/>
          <w:bCs/>
          <w:sz w:val="28"/>
          <w:szCs w:val="28"/>
        </w:rPr>
        <w:t xml:space="preserve">пунктов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 Зачем проводится такая деятельность и какие уже есть результаты – читайте в нашем материале.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Н</w:t>
      </w:r>
      <w:r>
        <w:rPr>
          <w:rStyle w:val="UserStyle_60"/>
          <w:bCs/>
          <w:sz w:val="28"/>
          <w:szCs w:val="28"/>
        </w:rPr>
        <w:t xml:space="preserve">а протяжении нескольких лет активно ведется обс</w:t>
      </w:r>
      <w:r>
        <w:rPr>
          <w:rStyle w:val="UserStyle_60"/>
          <w:bCs/>
          <w:sz w:val="28"/>
          <w:szCs w:val="28"/>
        </w:rPr>
        <w:t xml:space="preserve">ледование геодезических пунктов, которых в регионе насчитывается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14</w:t>
      </w:r>
      <w:r>
        <w:rPr>
          <w:rStyle w:val="UserStyle_60"/>
          <w:bCs/>
          <w:sz w:val="28"/>
          <w:szCs w:val="28"/>
        </w:rPr>
        <w:t xml:space="preserve"> </w:t>
      </w:r>
      <w:r>
        <w:rPr>
          <w:rStyle w:val="UserStyle_60"/>
          <w:bCs/>
          <w:sz w:val="28"/>
          <w:szCs w:val="28"/>
        </w:rPr>
        <w:t xml:space="preserve">250</w:t>
      </w:r>
      <w:r>
        <w:rPr>
          <w:rStyle w:val="UserStyle_60"/>
          <w:bCs/>
          <w:sz w:val="28"/>
          <w:szCs w:val="28"/>
        </w:rPr>
        <w:t xml:space="preserve">. </w:t>
      </w:r>
      <w:r>
        <w:rPr>
          <w:rStyle w:val="UserStyle_60"/>
          <w:bCs/>
          <w:sz w:val="28"/>
          <w:szCs w:val="28"/>
        </w:rPr>
        <w:t xml:space="preserve">Работа осуществляется в рамках госпрограммы «Национальная система пространственных данных»</w:t>
      </w:r>
      <w:r>
        <w:rPr>
          <w:rStyle w:val="UserStyle_60"/>
          <w:bCs/>
          <w:sz w:val="28"/>
          <w:szCs w:val="28"/>
        </w:rPr>
        <w:t xml:space="preserve">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В результате за прошедший год </w:t>
      </w:r>
      <w:r>
        <w:rPr>
          <w:rStyle w:val="UserStyle_60"/>
          <w:bCs/>
          <w:sz w:val="28"/>
          <w:szCs w:val="28"/>
        </w:rPr>
        <w:t xml:space="preserve">на Южном Урале </w:t>
      </w:r>
      <w:r>
        <w:rPr>
          <w:rStyle w:val="UserStyle_60"/>
          <w:bCs/>
          <w:sz w:val="28"/>
          <w:szCs w:val="28"/>
        </w:rPr>
        <w:t xml:space="preserve">было </w:t>
      </w:r>
      <w:r>
        <w:rPr>
          <w:rStyle w:val="UserStyle_60"/>
          <w:bCs/>
          <w:sz w:val="28"/>
          <w:szCs w:val="28"/>
        </w:rPr>
        <w:t xml:space="preserve">обследовано 762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пункта, которые необходимы для выполнения точных геодезических измерений. При этом изначально планировалось актуализировать состояние всего 656 пунктов, но фактически удалось обследовать больше.</w:t>
      </w:r>
      <w:r>
        <w:rPr>
          <w:rStyle w:val="UserStyle_60"/>
          <w:bCs/>
          <w:sz w:val="28"/>
          <w:szCs w:val="28"/>
        </w:rPr>
        <w:t xml:space="preserve"> За первый квартал 2025 года 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бследовано 117 пунктов: из них ГГС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–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30, ГНС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–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87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Такая важная </w:t>
      </w:r>
      <w:r>
        <w:rPr>
          <w:rStyle w:val="UserStyle_60"/>
          <w:bCs/>
          <w:sz w:val="28"/>
          <w:szCs w:val="28"/>
        </w:rPr>
        <w:t xml:space="preserve">деятельность</w:t>
      </w:r>
      <w:r>
        <w:rPr>
          <w:rStyle w:val="UserStyle_60"/>
          <w:bCs/>
          <w:sz w:val="28"/>
          <w:szCs w:val="28"/>
        </w:rPr>
        <w:t xml:space="preserve"> требует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от специалистов </w:t>
      </w:r>
      <w:r>
        <w:rPr>
          <w:rStyle w:val="UserStyle_60"/>
          <w:bCs/>
          <w:sz w:val="28"/>
          <w:szCs w:val="28"/>
        </w:rPr>
        <w:t xml:space="preserve">челябинского Росреестра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внимательности и аккуратности, ведь именно благодаря ей обеспечивается точность координат и правильное использование земельных </w:t>
      </w:r>
      <w:r>
        <w:rPr>
          <w:rStyle w:val="UserStyle_60"/>
          <w:bCs/>
          <w:sz w:val="28"/>
          <w:szCs w:val="28"/>
        </w:rPr>
        <w:t xml:space="preserve">ресурсов.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В частности, р</w:t>
      </w:r>
      <w:r>
        <w:rPr>
          <w:rStyle w:val="UserStyle_60"/>
          <w:bCs/>
          <w:sz w:val="28"/>
          <w:szCs w:val="28"/>
        </w:rPr>
        <w:t xml:space="preserve">абота включает в себя </w:t>
      </w:r>
      <w:r>
        <w:rPr>
          <w:rStyle w:val="UserStyle_60"/>
          <w:bCs/>
          <w:sz w:val="28"/>
          <w:szCs w:val="28"/>
        </w:rPr>
        <w:t xml:space="preserve">поиск пункта на местности, осмотр и выявление состояния наружного знака, верхней марки центра пункта, внешнего оформления, сохранности ориентирных пунктов, а также документальное оформление результатов обследования пункта. 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Пункты обследуются на предмет сохранности и пригодности для дальнейшего выполнения геодез</w:t>
      </w:r>
      <w:r>
        <w:rPr>
          <w:rStyle w:val="UserStyle_60"/>
          <w:bCs/>
          <w:sz w:val="28"/>
          <w:szCs w:val="28"/>
        </w:rPr>
        <w:t xml:space="preserve">ических и картографических работ.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Это непростое дело, поскольку </w:t>
      </w:r>
      <w:r>
        <w:rPr>
          <w:rStyle w:val="UserStyle_60"/>
          <w:bCs/>
          <w:sz w:val="28"/>
          <w:szCs w:val="28"/>
        </w:rPr>
        <w:t xml:space="preserve">на территории Челябинской области часть пунктов геодезических сетей находится в труднодоступных местах, в том числе в лесах горнозаводской зоны, на вершинах горных хребтов, на островах озер в центральной части области. Их удаленность осложняет процесс обследования.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Иногда специалистам Управления приходит на помощь профессиональное сообщество: геодезисты, кадастровые инженеры, а также неоценимо содействие лесничеств, муниципалитетов, различных органов власти и организаций.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Кроме того, довольно часто </w:t>
      </w:r>
      <w:r>
        <w:rPr>
          <w:rStyle w:val="UserStyle_60"/>
          <w:bCs/>
          <w:sz w:val="28"/>
          <w:szCs w:val="28"/>
        </w:rPr>
        <w:t xml:space="preserve">приходится вооружаться лопатой, чтобы очистить территорию вокруг пункта, удалить мусор и привести сам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пункт в</w:t>
      </w:r>
      <w:r>
        <w:rPr>
          <w:rStyle w:val="UserStyle_60"/>
          <w:bCs/>
          <w:sz w:val="28"/>
          <w:szCs w:val="28"/>
        </w:rPr>
        <w:t xml:space="preserve"> надлежащий вид.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Напомним, что п</w:t>
      </w:r>
      <w:r>
        <w:rPr>
          <w:rStyle w:val="UserStyle_60"/>
          <w:bCs/>
          <w:sz w:val="28"/>
          <w:szCs w:val="28"/>
        </w:rPr>
        <w:t xml:space="preserve">ункты государственной геодезической сети рассчитаны на использование в течение длительного времени и находятся под охраной государства.</w:t>
      </w:r>
      <w:r>
        <w:rPr>
          <w:rStyle w:val="UserStyle_60"/>
          <w:bCs/>
          <w:sz w:val="28"/>
          <w:szCs w:val="28"/>
        </w:rPr>
        <w:t xml:space="preserve"> В том числе </w:t>
      </w:r>
      <w:r>
        <w:rPr>
          <w:rStyle w:val="UserStyle_60"/>
          <w:bCs/>
          <w:sz w:val="28"/>
          <w:szCs w:val="28"/>
        </w:rPr>
        <w:t xml:space="preserve">за уничтожение, повреждение или снос таких пунктов предусмотрена административная ответственность в виде наложения штрафа.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2194</Characters>
  <CharactersWithSpaces>2573</CharactersWithSpaces>
  <DocSecurity>0</DocSecurity>
  <HyperlinksChanged>false</HyperlinksChanged>
  <Lines>18</Lines>
  <Pages>1</Pages>
  <Paragraphs>5</Paragraphs>
  <ScaleCrop>false</ScaleCrop>
  <SharedDoc>false</SharedDoc>
  <Template>Normal</Template>
  <Words>384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91</cp:revision>
  <dcterms:created xsi:type="dcterms:W3CDTF">2024-08-16T10:03:00Z</dcterms:created>
  <dcterms:modified xsi:type="dcterms:W3CDTF">2025-05-06T10:12:00Z</dcterms:modified>
  <cp:version>983040</cp:version>
</cp:coreProperties>
</file>